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12A3" w14:textId="77777777" w:rsidR="00DA7DA4" w:rsidRDefault="00592B02" w:rsidP="00DA7DA4">
      <w:pPr>
        <w:rPr>
          <w:rFonts w:ascii="Noway" w:hAnsi="Noway"/>
          <w:b/>
          <w:bCs/>
          <w:color w:val="222A35" w:themeColor="text2" w:themeShade="80"/>
          <w:sz w:val="24"/>
          <w:szCs w:val="24"/>
        </w:rPr>
      </w:pPr>
      <w:r w:rsidRPr="00DA7DA4">
        <w:rPr>
          <w:rFonts w:ascii="Noway" w:hAnsi="Noway"/>
          <w:b/>
          <w:bCs/>
          <w:color w:val="222A35" w:themeColor="text2" w:themeShade="80"/>
          <w:sz w:val="24"/>
          <w:szCs w:val="24"/>
        </w:rPr>
        <w:br/>
      </w:r>
      <w:proofErr w:type="spellStart"/>
      <w:r w:rsidR="00250188" w:rsidRPr="00DA7DA4">
        <w:rPr>
          <w:rFonts w:ascii="Noway" w:hAnsi="Noway"/>
          <w:b/>
          <w:bCs/>
          <w:color w:val="222A35" w:themeColor="text2" w:themeShade="80"/>
          <w:sz w:val="24"/>
          <w:szCs w:val="24"/>
        </w:rPr>
        <w:t>Außschreibungstext</w:t>
      </w:r>
      <w:proofErr w:type="spellEnd"/>
    </w:p>
    <w:p w14:paraId="44A5197D" w14:textId="017110A9" w:rsidR="00250188" w:rsidRDefault="00DA7DA4" w:rsidP="00DA7DA4">
      <w:pPr>
        <w:rPr>
          <w:rFonts w:ascii="Noway" w:hAnsi="Noway"/>
          <w:b/>
          <w:bCs/>
          <w:color w:val="222A35" w:themeColor="text2" w:themeShade="80"/>
          <w:sz w:val="24"/>
          <w:szCs w:val="24"/>
          <w:lang w:eastAsia="en-US"/>
        </w:rPr>
      </w:pPr>
      <w:proofErr w:type="spellStart"/>
      <w:r>
        <w:rPr>
          <w:rFonts w:ascii="Noway" w:hAnsi="Noway"/>
          <w:b/>
          <w:bCs/>
          <w:color w:val="222A35" w:themeColor="text2" w:themeShade="80"/>
          <w:sz w:val="24"/>
          <w:szCs w:val="24"/>
        </w:rPr>
        <w:t>m</w:t>
      </w:r>
      <w:r w:rsidR="00250188" w:rsidRPr="00DA7DA4">
        <w:rPr>
          <w:rFonts w:ascii="Noway" w:hAnsi="Noway"/>
          <w:b/>
          <w:bCs/>
          <w:color w:val="222A35" w:themeColor="text2" w:themeShade="80"/>
          <w:sz w:val="24"/>
          <w:szCs w:val="24"/>
        </w:rPr>
        <w:t>obiheat</w:t>
      </w:r>
      <w:proofErr w:type="spellEnd"/>
      <w:r w:rsidR="00250188"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MH600QC</w:t>
      </w:r>
      <w:r w:rsidR="00250188" w:rsidRPr="00DA7DA4">
        <w:rPr>
          <w:rFonts w:ascii="Noway" w:hAnsi="Noway"/>
          <w:b/>
          <w:bCs/>
          <w:color w:val="222A35" w:themeColor="text2" w:themeShade="80"/>
          <w:sz w:val="24"/>
          <w:szCs w:val="24"/>
        </w:rPr>
        <w:t xml:space="preserve"> | </w:t>
      </w:r>
      <w:r w:rsidR="00D07684">
        <w:rPr>
          <w:rFonts w:ascii="Noway" w:hAnsi="Noway"/>
          <w:b/>
          <w:bCs/>
          <w:color w:val="222A35" w:themeColor="text2" w:themeShade="80"/>
          <w:sz w:val="24"/>
          <w:szCs w:val="24"/>
        </w:rPr>
        <w:t>600 kW</w:t>
      </w:r>
      <w:r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Heizcontainer</w:t>
      </w:r>
    </w:p>
    <w:p w14:paraId="01AFE20D" w14:textId="77777777" w:rsidR="00DA7DA4" w:rsidRPr="00250188" w:rsidRDefault="00DA7DA4" w:rsidP="00DA7DA4">
      <w:pPr>
        <w:rPr>
          <w:rFonts w:ascii="Noway" w:hAnsi="Noway"/>
          <w:b/>
          <w:bCs/>
          <w:color w:val="222A35" w:themeColor="text2" w:themeShade="80"/>
          <w:sz w:val="24"/>
          <w:szCs w:val="24"/>
        </w:rPr>
      </w:pPr>
    </w:p>
    <w:p w14:paraId="10F646CE" w14:textId="6998E2DB" w:rsidR="00DA7DA4" w:rsidRDefault="00186DDF" w:rsidP="00DA7DA4">
      <w:pPr>
        <w:rPr>
          <w:rFonts w:ascii="Noway" w:hAnsi="Noway"/>
          <w:color w:val="222A35" w:themeColor="text2" w:themeShade="80"/>
          <w:lang w:eastAsia="en-US"/>
        </w:rPr>
      </w:pPr>
      <w:r>
        <w:rPr>
          <w:rFonts w:ascii="Noway" w:hAnsi="Noway"/>
          <w:color w:val="222A35" w:themeColor="text2" w:themeShade="80"/>
          <w:lang w:eastAsia="en-US"/>
        </w:rPr>
        <w:t>Die mobile Heizzentrale MH600QC im Stahl-Technik-Container fungiert als flexibler und leistungsstarker Wärmeerzeuger bis 600 kW. Im Heizcontainer ist ein elektrisches Heizgebläse verbaut, welches vor Frost schützt, sowie ein doppelwandiger Edelstahl-Abgaskamin zur Brandschutzsicherung und ein Spezial-Heizkessel für erhöhte Anforderungen. Der integrierte Zweistoffbrenner ist in der Lage sowohl Öl als auch Gas zu verbrennen. Mithilfe der verbauten Tankheizung wird die interne Sicherheits-Öltankanlage bei Temperatur gehalten. Somit kann bei allen Temperaturverhältnissen zuverlässig mit Heizöl gearbeitet und ein reibungsloser Prozess sichergestellt werden. Die integrierte Öltankanlage fasst ein Tankvolumen von 4.800 Litern. Reicht dieses nicht aus, können externe Öltankanlagen angeschlossen werden.</w:t>
        <w:br/>
        <w:t xml:space="preserve"/>
        <w:br/>
        <w:t xml:space="preserve">Über die mobiheat smart App können automatische Störungsmeldungen und der Anlagenstatus abgerufen werden. Zusätzlich können 6 vorinstallierte Estrichaufheizprogramme ausgewählt, oder eigene individuelle Aufheizprogramme erstellt werden. Um den Verlauf des Estrichprogramms nachvollziehen zu können, wird automatisch ein Protokoll auf der Regelung gespeichert, welches via USB-Stick heruntergeladen und über die Software MH-Logs ausgelesen werden kann.</w:t>
        <w:br/>
        <w:t xml:space="preserve"/>
      </w:r>
    </w:p>
    <w:p w14:paraId="67A9AE71" w14:textId="77777777" w:rsidR="00DA7DA4" w:rsidRDefault="00DA7DA4" w:rsidP="00DA7DA4">
      <w:pPr>
        <w:rPr>
          <w:rFonts w:ascii="Noway" w:hAnsi="Noway"/>
          <w:color w:val="222A35" w:themeColor="text2" w:themeShade="80"/>
          <w:lang w:eastAsia="en-US"/>
        </w:rPr>
      </w:pPr>
    </w:p>
    <w:tbl>
      <w:tblPr>
        <w:tblW w:w="9356" w:type="dxa"/>
        <w:tblInd w:w="-5" w:type="dxa"/>
        <w:tblLayout w:type="fixed"/>
        <w:tblCellMar>
          <w:left w:w="0" w:type="dxa"/>
          <w:right w:w="0" w:type="dxa"/>
        </w:tblCellMar>
        <w:tblLook w:val="0000" w:firstRow="0" w:lastRow="0" w:firstColumn="0" w:lastColumn="0" w:noHBand="0" w:noVBand="0"/>
      </w:tblPr>
      <w:tblGrid>
        <w:gridCol w:w="5954"/>
        <w:gridCol w:w="1701"/>
        <w:gridCol w:w="1701"/>
      </w:tblGrid>
      <w:tr w:rsidR="00DA7DA4" w:rsidRPr="003B1F33" w14:paraId="086D7178"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AD5462A" w14:textId="01AC022C" w:rsidR="00DA7DA4" w:rsidRPr="003B1F33" w:rsidRDefault="002E3835" w:rsidP="00DA7DA4">
            <w:pPr>
              <w:rPr>
                <w:rFonts w:ascii="Noway" w:hAnsi="Noway"/>
              </w:rPr>
            </w:pPr>
            <w:r>
              <w:rPr>
                <w:rFonts w:ascii="Noway" w:hAnsi="Noway"/>
              </w:rPr>
              <w:t>Heizzentrale</w:t>
            </w:r>
            <w:r w:rsidR="00DA7DA4" w:rsidRPr="003B1F33">
              <w:rPr>
                <w:rFonts w:ascii="Noway" w:hAnsi="Noway"/>
              </w:rPr>
              <w:t xml:space="preserve"> (</w:t>
            </w:r>
            <w:r w:rsidR="00F84AE5">
              <w:rPr>
                <w:rFonts w:ascii="Noway" w:hAnsi="Noway"/>
              </w:rPr>
              <w:t>VK Energie groß</w:t>
            </w:r>
            <w:r w:rsidR="00DA7DA4"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2F18E60" w14:textId="77777777" w:rsidR="00DA7DA4" w:rsidRPr="003B1F33" w:rsidRDefault="00DA7DA4" w:rsidP="00DA7DA4">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7EFDFE7" w14:textId="77777777" w:rsidR="00DA7DA4" w:rsidRPr="003B1F33" w:rsidRDefault="00DA7DA4" w:rsidP="00DA7DA4">
            <w:pPr>
              <w:rPr>
                <w:rFonts w:ascii="Noway" w:hAnsi="Noway"/>
              </w:rPr>
            </w:pPr>
            <w:r w:rsidRPr="003B1F33">
              <w:rPr>
                <w:rFonts w:ascii="Noway" w:hAnsi="Noway"/>
              </w:rPr>
              <w:t>Preis in €</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mobiheat Heizcontainer 600 kW MH600QC</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MH600QC</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90.064,00</w:t>
            </w:r>
          </w:p>
        </w:tc>
      </w:tr>
      <w:tr w:rsidR="00CF2CBC" w:rsidRPr="003B1F33" w14:paraId="20FFC0C3"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FB73151" w14:textId="2D932981" w:rsidR="00CF2CBC" w:rsidRPr="003B1F33" w:rsidRDefault="00CF2CBC" w:rsidP="002A2867">
            <w:pPr>
              <w:rPr>
                <w:rFonts w:ascii="Noway" w:hAnsi="Noway"/>
              </w:rPr>
            </w:pPr>
            <w:r>
              <w:rPr>
                <w:rFonts w:ascii="Noway" w:hAnsi="Noway"/>
              </w:rPr>
              <w:t>Zubehör</w:t>
            </w:r>
            <w:r w:rsidRPr="003B1F33">
              <w:rPr>
                <w:rFonts w:ascii="Noway" w:hAnsi="Noway"/>
              </w:rPr>
              <w:t xml:space="preserve"> </w:t>
            </w:r>
            <w:r w:rsidR="00F84AE5" w:rsidRPr="003B1F33">
              <w:rPr>
                <w:rFonts w:ascii="Noway" w:hAnsi="Noway"/>
              </w:rPr>
              <w:t>(</w:t>
            </w:r>
            <w:r w:rsidR="00F84AE5">
              <w:rPr>
                <w:rFonts w:ascii="Noway" w:hAnsi="Noway"/>
              </w:rPr>
              <w:t>VK Energie klein*</w:t>
            </w:r>
            <w:r w:rsidR="00F84AE5"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1EBEEC2"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333458B" w14:textId="77777777" w:rsidR="00CF2CBC" w:rsidRPr="003B1F33" w:rsidRDefault="00CF2CBC" w:rsidP="002A2867">
            <w:pPr>
              <w:rPr>
                <w:rFonts w:ascii="Noway" w:hAnsi="Noway"/>
              </w:rPr>
            </w:pPr>
            <w:r w:rsidRPr="003B1F33">
              <w:rPr>
                <w:rFonts w:ascii="Noway" w:hAnsi="Noway"/>
              </w:rPr>
              <w:t>Preis in €</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Anbindeleitung Edelstahl VL/RL, Flansch DN65 PN16, 10 m MHABLED65</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MHABLED65</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3.464,00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Abgasschalldämpfer DN300, 600-1000 kW MHAGS300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MHAGS300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1.245,00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Verlängerungskabel 400 V 32 A, 10 m MHEVK1032</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MHEVK1032</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293,00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Verlängerungskabel 400 V 32 A, 20 m MHEVK2032</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MHEVK2032</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410,00</w:t>
            </w:r>
          </w:p>
        </w:tc>
      </w:tr>
      <w:tr w:rsidR="00CF2CBC" w:rsidRPr="003B1F33" w14:paraId="5CFC1115"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20F73A7F" w14:textId="51DA64D7" w:rsidR="00CF2CBC" w:rsidRPr="003B1F33" w:rsidRDefault="00CF2CBC" w:rsidP="002A2867">
            <w:pPr>
              <w:rPr>
                <w:rFonts w:ascii="Noway" w:hAnsi="Noway"/>
              </w:rPr>
            </w:pPr>
            <w:r>
              <w:rPr>
                <w:rFonts w:ascii="Noway" w:hAnsi="Noway"/>
              </w:rPr>
              <w:t>Service</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78BF09B"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5E9A354F" w14:textId="77777777" w:rsidR="00CF2CBC" w:rsidRPr="003B1F33" w:rsidRDefault="00CF2CBC" w:rsidP="002A2867">
            <w:pPr>
              <w:rPr>
                <w:rFonts w:ascii="Noway" w:hAnsi="Noway"/>
              </w:rPr>
            </w:pPr>
            <w:r w:rsidRPr="003B1F33">
              <w:rPr>
                <w:rFonts w:ascii="Noway" w:hAnsi="Noway"/>
              </w:rPr>
              <w:t>Preis in €</w:t>
            </w:r>
          </w:p>
        </w:tc>
      </w:tr>
      <w:tr w:rsidR="00CF2CBC" w:rsidRPr="003B1F33" w14:paraId="34F534B6"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D28365C" w14:textId="4A0BCC6A" w:rsidR="00CF2CBC" w:rsidRPr="003B1F33" w:rsidRDefault="00CF2CBC" w:rsidP="002A2867">
            <w:pPr>
              <w:rPr>
                <w:rFonts w:ascii="Noway" w:hAnsi="Noway"/>
              </w:rPr>
            </w:pPr>
            <w:r>
              <w:rPr>
                <w:rFonts w:ascii="Noway" w:hAnsi="Noway"/>
              </w:rPr>
              <w:t>mobiheat Monatliche Gebühr Fernüberwachung für Kaufanlagen</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1ABA3832" w14:textId="1FA0E10F" w:rsidR="00CF2CBC" w:rsidRPr="003B1F33" w:rsidRDefault="00CF2CBC" w:rsidP="002A2867">
            <w:pPr>
              <w:rPr>
                <w:rFonts w:ascii="Noway" w:hAnsi="Noway"/>
              </w:rPr>
            </w:pPr>
            <w:r>
              <w:rPr>
                <w:rFonts w:ascii="Noway" w:hAnsi="Noway"/>
              </w:rPr>
              <w:t>MHFUEWGEB</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750AA8A8" w14:textId="72BC7BA7" w:rsidR="00CF2CBC" w:rsidRPr="003B1F33" w:rsidRDefault="00CF2CBC" w:rsidP="002A2867">
            <w:pPr>
              <w:rPr>
                <w:rFonts w:ascii="Noway" w:hAnsi="Noway"/>
              </w:rPr>
            </w:pPr>
            <w:r>
              <w:rPr>
                <w:rFonts w:ascii="Noway" w:hAnsi="Noway"/>
              </w:rPr>
              <w:t>34,00</w:t>
            </w:r>
          </w:p>
        </w:tc>
      </w:tr>
      <w:tr w:rsidR="00CF2CBC" w:rsidRPr="003B1F33" w14:paraId="34F534B6"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D28365C" w14:textId="4A0BCC6A" w:rsidR="00CF2CBC" w:rsidRPr="003B1F33" w:rsidRDefault="00CF2CBC" w:rsidP="002A2867">
            <w:pPr>
              <w:rPr>
                <w:rFonts w:ascii="Noway" w:hAnsi="Noway"/>
              </w:rPr>
            </w:pPr>
            <w:r>
              <w:rPr>
                <w:rFonts w:ascii="Noway" w:hAnsi="Noway"/>
              </w:rPr>
              <w:t>Sonder - Transportkosten</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1ABA3832" w14:textId="1FA0E10F" w:rsidR="00CF2CBC" w:rsidRPr="003B1F33" w:rsidRDefault="00CF2CBC" w:rsidP="002A2867">
            <w:pPr>
              <w:rPr>
                <w:rFonts w:ascii="Noway" w:hAnsi="Noway"/>
              </w:rPr>
            </w:pPr>
            <w:r>
              <w:rPr>
                <w:rFonts w:ascii="Noway" w:hAnsi="Noway"/>
              </w:rPr>
              <w:t>MHT</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750AA8A8" w14:textId="72BC7BA7" w:rsidR="00CF2CBC" w:rsidRPr="003B1F33" w:rsidRDefault="00CF2CBC" w:rsidP="002A2867">
            <w:pPr>
              <w:rPr>
                <w:rFonts w:ascii="Noway" w:hAnsi="Noway"/>
              </w:rPr>
            </w:pPr>
            <w:r>
              <w:rPr>
                <w:rFonts w:ascii="Noway" w:hAnsi="Noway"/>
              </w:rPr>
              <w:t>927,00</w:t>
            </w:r>
          </w:p>
        </w:tc>
      </w:tr>
    </w:tbl>
    <w:p w14:paraId="6B0B8B16" w14:textId="77777777" w:rsidR="00CF2CBC" w:rsidRPr="00465F1C" w:rsidRDefault="00CF2CBC">
      <w:pPr>
        <w:rPr>
          <w:lang w:eastAsia="en-US"/>
        </w:rPr>
      </w:pPr>
    </w:p>
    <w:sectPr w:rsidR="00CF2CBC" w:rsidRPr="00465F1C" w:rsidSect="00B05F34">
      <w:headerReference w:type="default" r:id="rId7"/>
      <w:footerReference w:type="default" r:id="rId8"/>
      <w:pgSz w:w="11906" w:h="16838"/>
      <w:pgMar w:top="2568" w:right="1274" w:bottom="1134" w:left="1276" w:header="720" w:footer="14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006F" w14:textId="77777777" w:rsidR="00B05F34" w:rsidRDefault="00B05F34">
      <w:r>
        <w:separator/>
      </w:r>
    </w:p>
  </w:endnote>
  <w:endnote w:type="continuationSeparator" w:id="0">
    <w:p w14:paraId="67CB8628" w14:textId="77777777" w:rsidR="00B05F34" w:rsidRDefault="00B0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way">
    <w:panose1 w:val="02000506000000020004"/>
    <w:charset w:val="00"/>
    <w:family w:val="modern"/>
    <w:notTrueType/>
    <w:pitch w:val="variable"/>
    <w:sig w:usb0="A000002F" w:usb1="1000006A"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7E2E" w14:textId="62B05221" w:rsidR="00DA7DA4" w:rsidRDefault="00250188">
    <w:pPr>
      <w:pStyle w:val="Fuzeile"/>
    </w:pPr>
    <w:r>
      <w:rPr>
        <w:rFonts w:ascii="Tahoma" w:hAnsi="Tahoma" w:cs="Tahoma"/>
        <w:b/>
        <w:noProof/>
        <w:color w:val="191E3D"/>
        <w:sz w:val="22"/>
        <w:szCs w:val="22"/>
      </w:rPr>
      <w:drawing>
        <wp:anchor distT="0" distB="0" distL="114300" distR="114300" simplePos="0" relativeHeight="251662336" behindDoc="1" locked="0" layoutInCell="1" allowOverlap="1" wp14:anchorId="214BB8AC" wp14:editId="326D548C">
          <wp:simplePos x="0" y="0"/>
          <wp:positionH relativeFrom="column">
            <wp:posOffset>5741988</wp:posOffset>
          </wp:positionH>
          <wp:positionV relativeFrom="paragraph">
            <wp:posOffset>-1174433</wp:posOffset>
          </wp:positionV>
          <wp:extent cx="1333500" cy="267556"/>
          <wp:effectExtent l="0" t="318" r="0" b="0"/>
          <wp:wrapNone/>
          <wp:docPr id="1127405672" name="Grafik 1127405672" descr="Ein Bild, das Screenshot, Schrift, Kreis,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405672" name="Grafik 1127405672" descr="Ein Bild, das Screenshot, Schrift, Kreis, Grafiken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6200000">
                    <a:off x="0" y="0"/>
                    <a:ext cx="1333500" cy="267556"/>
                  </a:xfrm>
                  <a:prstGeom prst="rect">
                    <a:avLst/>
                  </a:prstGeom>
                  <a:noFill/>
                  <a:ln>
                    <a:noFill/>
                  </a:ln>
                </pic:spPr>
              </pic:pic>
            </a:graphicData>
          </a:graphic>
          <wp14:sizeRelH relativeFrom="page">
            <wp14:pctWidth>0</wp14:pctWidth>
          </wp14:sizeRelH>
          <wp14:sizeRelV relativeFrom="page">
            <wp14:pctHeight>0</wp14:pctHeight>
          </wp14:sizeRelV>
        </wp:anchor>
      </w:drawing>
    </w:r>
    <w:r w:rsidR="00E11D43" w:rsidRPr="0061004E">
      <w:rPr>
        <w:noProof/>
      </w:rPr>
      <w:drawing>
        <wp:anchor distT="0" distB="0" distL="114300" distR="114300" simplePos="0" relativeHeight="251660288" behindDoc="1" locked="0" layoutInCell="1" allowOverlap="1" wp14:anchorId="760767AB" wp14:editId="0B41E525">
          <wp:simplePos x="0" y="0"/>
          <wp:positionH relativeFrom="page">
            <wp:posOffset>8667</wp:posOffset>
          </wp:positionH>
          <wp:positionV relativeFrom="paragraph">
            <wp:posOffset>228886</wp:posOffset>
          </wp:positionV>
          <wp:extent cx="7557269" cy="826261"/>
          <wp:effectExtent l="0" t="0" r="571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2">
                    <a:extLst>
                      <a:ext uri="{28A0092B-C50C-407E-A947-70E740481C1C}">
                        <a14:useLocalDpi xmlns:a14="http://schemas.microsoft.com/office/drawing/2010/main" val="0"/>
                      </a:ext>
                    </a:extLst>
                  </a:blip>
                  <a:stretch>
                    <a:fillRect/>
                  </a:stretch>
                </pic:blipFill>
                <pic:spPr>
                  <a:xfrm>
                    <a:off x="0" y="0"/>
                    <a:ext cx="7557269" cy="82626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2F86" w14:textId="77777777" w:rsidR="00B05F34" w:rsidRDefault="00B05F34">
      <w:r>
        <w:separator/>
      </w:r>
    </w:p>
  </w:footnote>
  <w:footnote w:type="continuationSeparator" w:id="0">
    <w:p w14:paraId="0EDF36CD" w14:textId="77777777" w:rsidR="00B05F34" w:rsidRDefault="00B0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0799" w14:textId="49AF67A5" w:rsidR="00DA7DA4" w:rsidRDefault="00E11D43">
    <w:pPr>
      <w:pStyle w:val="Kopfzeile"/>
    </w:pPr>
    <w:r w:rsidRPr="00663113">
      <w:rPr>
        <w:noProof/>
      </w:rPr>
      <w:drawing>
        <wp:anchor distT="0" distB="0" distL="114300" distR="114300" simplePos="0" relativeHeight="251659264" behindDoc="1" locked="0" layoutInCell="1" allowOverlap="1" wp14:anchorId="0F59B2F8" wp14:editId="18211A92">
          <wp:simplePos x="0" y="0"/>
          <wp:positionH relativeFrom="margin">
            <wp:posOffset>-823261</wp:posOffset>
          </wp:positionH>
          <wp:positionV relativeFrom="paragraph">
            <wp:posOffset>-456127</wp:posOffset>
          </wp:positionV>
          <wp:extent cx="7591259" cy="1265209"/>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91259" cy="12652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779CF"/>
    <w:multiLevelType w:val="hybridMultilevel"/>
    <w:tmpl w:val="A44EB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8806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43"/>
    <w:rsid w:val="000345F0"/>
    <w:rsid w:val="000E1C05"/>
    <w:rsid w:val="00167D44"/>
    <w:rsid w:val="00186DDF"/>
    <w:rsid w:val="00195184"/>
    <w:rsid w:val="001D243F"/>
    <w:rsid w:val="00250188"/>
    <w:rsid w:val="002E3835"/>
    <w:rsid w:val="00333C4E"/>
    <w:rsid w:val="003A11F7"/>
    <w:rsid w:val="003B1F33"/>
    <w:rsid w:val="003D1F24"/>
    <w:rsid w:val="00446647"/>
    <w:rsid w:val="00465F1C"/>
    <w:rsid w:val="004D7926"/>
    <w:rsid w:val="00554494"/>
    <w:rsid w:val="005659BD"/>
    <w:rsid w:val="00582029"/>
    <w:rsid w:val="00583702"/>
    <w:rsid w:val="00592B02"/>
    <w:rsid w:val="005A41F8"/>
    <w:rsid w:val="006204E5"/>
    <w:rsid w:val="006232CC"/>
    <w:rsid w:val="0067072D"/>
    <w:rsid w:val="006866A0"/>
    <w:rsid w:val="007D54D9"/>
    <w:rsid w:val="0086458B"/>
    <w:rsid w:val="008943FB"/>
    <w:rsid w:val="00977C58"/>
    <w:rsid w:val="009920FE"/>
    <w:rsid w:val="00994891"/>
    <w:rsid w:val="009A3F15"/>
    <w:rsid w:val="009C48B1"/>
    <w:rsid w:val="00A22E31"/>
    <w:rsid w:val="00A946A1"/>
    <w:rsid w:val="00B05F34"/>
    <w:rsid w:val="00C217EF"/>
    <w:rsid w:val="00C53F78"/>
    <w:rsid w:val="00CC1968"/>
    <w:rsid w:val="00CF2CBC"/>
    <w:rsid w:val="00D003E7"/>
    <w:rsid w:val="00D05C6B"/>
    <w:rsid w:val="00D07684"/>
    <w:rsid w:val="00D645DC"/>
    <w:rsid w:val="00D86AD7"/>
    <w:rsid w:val="00DA7DA4"/>
    <w:rsid w:val="00E11D43"/>
    <w:rsid w:val="00E57F08"/>
    <w:rsid w:val="00E80E10"/>
    <w:rsid w:val="00ED238B"/>
    <w:rsid w:val="00ED545D"/>
    <w:rsid w:val="00ED6FE5"/>
    <w:rsid w:val="00F84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2944B"/>
  <w15:chartTrackingRefBased/>
  <w15:docId w15:val="{629A5760-3596-46F4-A496-CE5127D2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D43"/>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E11D43"/>
    <w:pPr>
      <w:ind w:left="708"/>
    </w:pPr>
  </w:style>
  <w:style w:type="paragraph" w:styleId="Kopfzeile">
    <w:name w:val="header"/>
    <w:basedOn w:val="Standard"/>
    <w:link w:val="KopfzeileZchn"/>
    <w:unhideWhenUsed/>
    <w:rsid w:val="00E11D43"/>
    <w:pPr>
      <w:tabs>
        <w:tab w:val="center" w:pos="4536"/>
        <w:tab w:val="right" w:pos="9072"/>
      </w:tabs>
    </w:pPr>
  </w:style>
  <w:style w:type="character" w:customStyle="1" w:styleId="KopfzeileZchn">
    <w:name w:val="Kopfzeile Zchn"/>
    <w:basedOn w:val="Absatz-Standardschriftart"/>
    <w:link w:val="Kopfzeile"/>
    <w:rsid w:val="00E11D43"/>
    <w:rPr>
      <w:rFonts w:ascii="Arial" w:eastAsia="Times New Roman" w:hAnsi="Arial" w:cs="Times New Roman"/>
      <w:sz w:val="20"/>
      <w:szCs w:val="20"/>
      <w:lang w:eastAsia="de-DE"/>
    </w:rPr>
  </w:style>
  <w:style w:type="paragraph" w:styleId="Fuzeile">
    <w:name w:val="footer"/>
    <w:basedOn w:val="Standard"/>
    <w:link w:val="FuzeileZchn"/>
    <w:unhideWhenUsed/>
    <w:rsid w:val="00E11D43"/>
    <w:pPr>
      <w:tabs>
        <w:tab w:val="center" w:pos="4536"/>
        <w:tab w:val="right" w:pos="9072"/>
      </w:tabs>
    </w:pPr>
  </w:style>
  <w:style w:type="character" w:customStyle="1" w:styleId="FuzeileZchn">
    <w:name w:val="Fußzeile Zchn"/>
    <w:basedOn w:val="Absatz-Standardschriftart"/>
    <w:link w:val="Fuzeile"/>
    <w:rsid w:val="00E11D43"/>
    <w:rPr>
      <w:rFonts w:ascii="Arial" w:eastAsia="Times New Roman" w:hAnsi="Arial" w:cs="Times New Roman"/>
      <w:sz w:val="20"/>
      <w:szCs w:val="20"/>
      <w:lang w:eastAsia="de-DE"/>
    </w:rPr>
  </w:style>
  <w:style w:type="paragraph" w:customStyle="1" w:styleId="EinfAbs">
    <w:name w:val="[Einf. Abs.]"/>
    <w:basedOn w:val="Standard"/>
    <w:uiPriority w:val="99"/>
    <w:rsid w:val="006866A0"/>
    <w:pPr>
      <w:autoSpaceDE w:val="0"/>
      <w:autoSpaceDN w:val="0"/>
      <w:adjustRightInd w:val="0"/>
      <w:spacing w:line="288" w:lineRule="auto"/>
      <w:textAlignment w:val="center"/>
    </w:pPr>
    <w:rPr>
      <w:rFonts w:ascii="Times New Roman" w:eastAsiaTheme="minorHAnsi" w:hAnsi="Times New Roman"/>
      <w:color w:val="000000"/>
      <w:sz w:val="24"/>
      <w:szCs w:val="24"/>
      <w:lang w:eastAsia="en-US"/>
    </w:rPr>
  </w:style>
  <w:style w:type="character" w:styleId="Hyperlink">
    <w:name w:val="Hyperlink"/>
    <w:basedOn w:val="Absatz-Standardschriftart"/>
    <w:uiPriority w:val="99"/>
    <w:unhideWhenUsed/>
    <w:rsid w:val="006866A0"/>
    <w:rPr>
      <w:color w:val="0563C1" w:themeColor="hyperlink"/>
      <w:u w:val="single"/>
    </w:rPr>
  </w:style>
  <w:style w:type="character" w:styleId="NichtaufgelsteErwhnung">
    <w:name w:val="Unresolved Mention"/>
    <w:basedOn w:val="Absatz-Standardschriftart"/>
    <w:uiPriority w:val="99"/>
    <w:semiHidden/>
    <w:unhideWhenUsed/>
    <w:rsid w:val="006866A0"/>
    <w:rPr>
      <w:color w:val="605E5C"/>
      <w:shd w:val="clear" w:color="auto" w:fill="E1DFDD"/>
    </w:rPr>
  </w:style>
  <w:style w:type="paragraph" w:customStyle="1" w:styleId="articlenumber">
    <w:name w:val="article_number"/>
    <w:basedOn w:val="Standard"/>
    <w:uiPriority w:val="99"/>
    <w:rsid w:val="00250188"/>
    <w:pPr>
      <w:autoSpaceDE w:val="0"/>
      <w:autoSpaceDN w:val="0"/>
      <w:adjustRightInd w:val="0"/>
      <w:spacing w:line="300" w:lineRule="atLeast"/>
      <w:textAlignment w:val="center"/>
    </w:pPr>
    <w:rPr>
      <w:rFonts w:ascii="Noway" w:eastAsiaTheme="minorHAnsi" w:hAnsi="Noway" w:cs="Noway"/>
      <w:caps/>
      <w:color w:val="00003F"/>
      <w:spacing w:val="60"/>
      <w:sz w:val="30"/>
      <w:szCs w:val="30"/>
      <w:lang w:eastAsia="en-US"/>
    </w:rPr>
  </w:style>
  <w:style w:type="paragraph" w:customStyle="1" w:styleId="articlegroupred">
    <w:name w:val="article_group_red"/>
    <w:basedOn w:val="Standard"/>
    <w:uiPriority w:val="99"/>
    <w:rsid w:val="00250188"/>
    <w:pPr>
      <w:autoSpaceDE w:val="0"/>
      <w:autoSpaceDN w:val="0"/>
      <w:adjustRightInd w:val="0"/>
      <w:spacing w:after="397" w:line="1220" w:lineRule="atLeast"/>
      <w:textAlignment w:val="center"/>
    </w:pPr>
    <w:rPr>
      <w:rFonts w:ascii="Noway" w:eastAsiaTheme="minorHAnsi" w:hAnsi="Noway" w:cs="Noway"/>
      <w:color w:val="FF2B19"/>
      <w:spacing w:val="10"/>
      <w:sz w:val="100"/>
      <w:szCs w:val="100"/>
      <w:lang w:eastAsia="en-US"/>
    </w:rPr>
  </w:style>
  <w:style w:type="paragraph" w:customStyle="1" w:styleId="articledescription">
    <w:name w:val="article_description"/>
    <w:basedOn w:val="Standard"/>
    <w:uiPriority w:val="99"/>
    <w:rsid w:val="00250188"/>
    <w:pPr>
      <w:autoSpaceDE w:val="0"/>
      <w:autoSpaceDN w:val="0"/>
      <w:adjustRightInd w:val="0"/>
      <w:spacing w:line="300" w:lineRule="atLeast"/>
      <w:textAlignment w:val="center"/>
    </w:pPr>
    <w:rPr>
      <w:rFonts w:ascii="Noway" w:eastAsiaTheme="minorHAnsi" w:hAnsi="Noway" w:cs="Noway"/>
      <w:color w:val="00003F"/>
      <w:sz w:val="22"/>
      <w:szCs w:val="22"/>
      <w:lang w:eastAsia="en-US"/>
    </w:rPr>
  </w:style>
  <w:style w:type="character" w:customStyle="1" w:styleId="articlenumberbold">
    <w:name w:val="article_number_bold"/>
    <w:basedOn w:val="Absatz-Standardschriftart"/>
    <w:uiPriority w:val="99"/>
    <w:rsid w:val="00250188"/>
    <w:rPr>
      <w:rFonts w:ascii="Noway" w:hAnsi="Noway" w:cs="Noway"/>
      <w:b/>
      <w:bCs/>
      <w:caps/>
      <w:color w:val="00003F"/>
      <w:spacing w:val="60"/>
      <w:sz w:val="30"/>
      <w:szCs w:val="30"/>
      <w:vertAlign w:val="baseline"/>
    </w:rPr>
  </w:style>
  <w:style w:type="paragraph" w:customStyle="1" w:styleId="pricelistheaderprimary">
    <w:name w:val="pricelist_header_primary"/>
    <w:basedOn w:val="articlenumber"/>
    <w:uiPriority w:val="99"/>
    <w:rsid w:val="00DA7DA4"/>
    <w:pPr>
      <w:jc w:val="center"/>
    </w:pPr>
    <w:rPr>
      <w:color w:val="FFFFFF"/>
      <w:spacing w:val="44"/>
      <w:sz w:val="22"/>
      <w:szCs w:val="22"/>
    </w:rPr>
  </w:style>
  <w:style w:type="paragraph" w:customStyle="1" w:styleId="rentallist">
    <w:name w:val="rental_list"/>
    <w:basedOn w:val="Standard"/>
    <w:uiPriority w:val="99"/>
    <w:rsid w:val="00DA7DA4"/>
    <w:pPr>
      <w:autoSpaceDE w:val="0"/>
      <w:autoSpaceDN w:val="0"/>
      <w:adjustRightInd w:val="0"/>
      <w:spacing w:line="180" w:lineRule="atLeast"/>
      <w:ind w:left="283" w:hanging="283"/>
      <w:textAlignment w:val="center"/>
    </w:pPr>
    <w:rPr>
      <w:rFonts w:ascii="Noway" w:eastAsiaTheme="minorHAnsi" w:hAnsi="Noway" w:cs="Noway"/>
      <w:color w:val="1C2C4F"/>
      <w:sz w:val="16"/>
      <w:szCs w:val="16"/>
      <w:lang w:eastAsia="en-US"/>
    </w:rPr>
  </w:style>
  <w:style w:type="paragraph" w:customStyle="1" w:styleId="pricelistheadersecondary">
    <w:name w:val="pricelist_header_secondary"/>
    <w:basedOn w:val="Standard"/>
    <w:uiPriority w:val="99"/>
    <w:rsid w:val="00DA7DA4"/>
    <w:pPr>
      <w:autoSpaceDE w:val="0"/>
      <w:autoSpaceDN w:val="0"/>
      <w:adjustRightInd w:val="0"/>
      <w:spacing w:line="300" w:lineRule="atLeast"/>
      <w:textAlignment w:val="center"/>
    </w:pPr>
    <w:rPr>
      <w:rFonts w:ascii="Noway" w:eastAsiaTheme="minorHAnsi" w:hAnsi="Noway" w:cs="Noway"/>
      <w:color w:val="1C2C4F"/>
      <w:lang w:eastAsia="en-US"/>
    </w:rPr>
  </w:style>
  <w:style w:type="paragraph" w:customStyle="1" w:styleId="pricelistheadersecondaryright">
    <w:name w:val="pricelist_header_secondary_right"/>
    <w:basedOn w:val="Standard"/>
    <w:uiPriority w:val="99"/>
    <w:rsid w:val="00DA7DA4"/>
    <w:pPr>
      <w:autoSpaceDE w:val="0"/>
      <w:autoSpaceDN w:val="0"/>
      <w:adjustRightInd w:val="0"/>
      <w:spacing w:line="300" w:lineRule="atLeast"/>
      <w:jc w:val="right"/>
      <w:textAlignment w:val="center"/>
    </w:pPr>
    <w:rPr>
      <w:rFonts w:ascii="Noway" w:eastAsiaTheme="minorHAnsi" w:hAnsi="Noway" w:cs="Noway"/>
      <w:color w:val="1C2C4F"/>
      <w:lang w:eastAsia="en-US"/>
    </w:rPr>
  </w:style>
  <w:style w:type="paragraph" w:customStyle="1" w:styleId="pricelistbody">
    <w:name w:val="pricelist_body"/>
    <w:basedOn w:val="Standard"/>
    <w:uiPriority w:val="99"/>
    <w:rsid w:val="00DA7DA4"/>
    <w:pPr>
      <w:autoSpaceDE w:val="0"/>
      <w:autoSpaceDN w:val="0"/>
      <w:adjustRightInd w:val="0"/>
      <w:spacing w:line="240" w:lineRule="atLeast"/>
      <w:textAlignment w:val="center"/>
    </w:pPr>
    <w:rPr>
      <w:rFonts w:ascii="Noway" w:eastAsiaTheme="minorHAnsi" w:hAnsi="Noway" w:cs="Noway"/>
      <w:color w:val="1C2C4F"/>
      <w:sz w:val="16"/>
      <w:szCs w:val="16"/>
      <w:lang w:eastAsia="en-US"/>
    </w:rPr>
  </w:style>
  <w:style w:type="paragraph" w:customStyle="1" w:styleId="pricelistbodyright">
    <w:name w:val="pricelist_body_right"/>
    <w:basedOn w:val="Standard"/>
    <w:uiPriority w:val="99"/>
    <w:rsid w:val="00DA7DA4"/>
    <w:pPr>
      <w:autoSpaceDE w:val="0"/>
      <w:autoSpaceDN w:val="0"/>
      <w:adjustRightInd w:val="0"/>
      <w:spacing w:line="240" w:lineRule="atLeast"/>
      <w:jc w:val="right"/>
      <w:textAlignment w:val="center"/>
    </w:pPr>
    <w:rPr>
      <w:rFonts w:ascii="Noway" w:eastAsiaTheme="minorHAnsi" w:hAnsi="Noway" w:cs="Noway"/>
      <w:color w:val="1C2C4F"/>
      <w:sz w:val="16"/>
      <w:szCs w:val="16"/>
      <w:lang w:eastAsia="en-US"/>
    </w:rPr>
  </w:style>
  <w:style w:type="paragraph" w:styleId="Listenabsatz">
    <w:name w:val="List Paragraph"/>
    <w:basedOn w:val="Standard"/>
    <w:uiPriority w:val="34"/>
    <w:qFormat/>
    <w:rsid w:val="00DA7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473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Tim-Maurice Müller-Hahl</dc:creator>
  <cp:keywords/>
  <dc:description/>
  <cp:lastModifiedBy>Daniel Reitmeier</cp:lastModifiedBy>
  <cp:revision>39</cp:revision>
  <cp:lastPrinted>2020-11-05T09:41:00Z</cp:lastPrinted>
  <dcterms:created xsi:type="dcterms:W3CDTF">2024-01-30T09:54:00Z</dcterms:created>
  <dcterms:modified xsi:type="dcterms:W3CDTF">2024-02-01T14:17:00Z</dcterms:modified>
</cp:coreProperties>
</file>