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MH18.3Q2</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18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Elektroheizmobile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Elektroheizmobil MH18.3Q2 ist eine kompakte mobile Elektroheizzentrale für den universellen Einsatz mit einfacher Bedienung inkl. verschiedener Spracheinstellungen. Das MH18.3Q2 kann mit seinem integrierten Wärmetauscher neben dem Heizbetrieb auch zur Warm- und Brauchwasserbereitung herangezogen werden.</w:t>
        <w:br/>
        <w:t xml:space="preserve"/>
        <w:br/>
        <w:t xml:space="preserve">Bei Heizungsstörungen oder Arbeiten am Wärmeerzeuger wird es als Notheizung genutzt. Weitere Einsatzmöglichkeiten sind die Frostsicherung und Vorsorge/Erstaufheizung, z. B. um eine Vereisung der Erdwärmepumpe oder Luftwärmepumpe zu vermeiden. Durch den Transportwagen ist das Gerät sehr mobil und variabel aufstellbar. Innerhalb kurzer Zeit ist das Elektroheizmobil an jedem Standort und mit wenigen Handgriffen betriebsbereit.</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Heizung 2,8 m VL/RL</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Sanitär 2,8 m KW/WW</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MH18.3QV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622,00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MH18.3QVT8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47,00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MH18.3QVM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754,00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MH18.3QVT31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23,00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DN25, Geka, 2,8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MHABL25HV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DN25, Geka, 2,8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MHABL25HVM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Sanitär VL/RL, DN25, Geka, 2,8m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MHABL25SV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Sanitär VL/RL, DN25, Geka, 2,8m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MHABL25SVM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64,00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Expressversand MHWND Lieferung innerhalb 24 Std.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MHWND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155,00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